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0B91" w14:textId="5AC82DF5" w:rsidR="00294772" w:rsidRDefault="00451E8E">
      <w:pPr>
        <w:spacing w:after="139" w:line="259" w:lineRule="auto"/>
        <w:ind w:left="281" w:right="0" w:firstLine="0"/>
        <w:jc w:val="center"/>
      </w:pPr>
      <w:r w:rsidRPr="00451E8E">
        <w:rPr>
          <w:rFonts w:ascii="Cambria" w:eastAsia="Cambria" w:hAnsi="Cambria" w:cs="Cambria"/>
          <w:b/>
          <w:noProof/>
          <w:sz w:val="28"/>
        </w:rPr>
        <w:drawing>
          <wp:anchor distT="0" distB="0" distL="114300" distR="114300" simplePos="0" relativeHeight="251658240" behindDoc="1" locked="0" layoutInCell="1" allowOverlap="0" wp14:anchorId="0F451AA6" wp14:editId="76D634EE">
            <wp:simplePos x="0" y="0"/>
            <wp:positionH relativeFrom="column">
              <wp:posOffset>-847090</wp:posOffset>
            </wp:positionH>
            <wp:positionV relativeFrom="paragraph">
              <wp:posOffset>-487680</wp:posOffset>
            </wp:positionV>
            <wp:extent cx="1735200" cy="1533600"/>
            <wp:effectExtent l="0" t="0" r="0" b="0"/>
            <wp:wrapNone/>
            <wp:docPr id="2291753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7530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8"/>
        </w:rPr>
        <w:t xml:space="preserve">PRAVIDLA  </w:t>
      </w:r>
    </w:p>
    <w:p w14:paraId="2CF58C06" w14:textId="793D935D" w:rsidR="00294772" w:rsidRDefault="00000000">
      <w:pPr>
        <w:spacing w:after="0" w:line="360" w:lineRule="auto"/>
        <w:ind w:left="898" w:right="556" w:firstLine="0"/>
        <w:jc w:val="center"/>
      </w:pPr>
      <w:r>
        <w:rPr>
          <w:rFonts w:ascii="Cambria" w:eastAsia="Cambria" w:hAnsi="Cambria" w:cs="Cambria"/>
          <w:b/>
          <w:sz w:val="28"/>
        </w:rPr>
        <w:t>Kvalifikace mladých hasičů v běhu na 60</w:t>
      </w:r>
      <w:r w:rsidR="0089026D"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>m s překážkami na Mistrovství České republiky pro rok 202</w:t>
      </w:r>
      <w:r w:rsidR="00C53F55">
        <w:rPr>
          <w:rFonts w:ascii="Cambria" w:eastAsia="Cambria" w:hAnsi="Cambria" w:cs="Cambria"/>
          <w:b/>
          <w:sz w:val="28"/>
        </w:rPr>
        <w:t>4</w:t>
      </w:r>
    </w:p>
    <w:p w14:paraId="63098D8E" w14:textId="77777777" w:rsidR="00294772" w:rsidRDefault="00000000">
      <w:pPr>
        <w:spacing w:after="212" w:line="259" w:lineRule="auto"/>
        <w:ind w:left="342" w:right="0" w:firstLine="0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00887674" w14:textId="77777777" w:rsidR="00294772" w:rsidRDefault="00000000">
      <w:pPr>
        <w:pStyle w:val="Nadpis1"/>
        <w:spacing w:after="0"/>
        <w:ind w:left="-5" w:right="0"/>
      </w:pPr>
      <w:r>
        <w:rPr>
          <w:rFonts w:ascii="Calibri" w:eastAsia="Calibri" w:hAnsi="Calibri" w:cs="Calibri"/>
        </w:rPr>
        <w:t>1</w:t>
      </w:r>
      <w:r>
        <w:rPr>
          <w:rFonts w:ascii="Arial" w:eastAsia="Arial" w:hAnsi="Arial" w:cs="Arial"/>
        </w:rPr>
        <w:t xml:space="preserve"> </w:t>
      </w:r>
      <w:r>
        <w:t>Pořadatel, místo konání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E34E8E8" w14:textId="0DB1CE21" w:rsidR="00294772" w:rsidRDefault="00000000">
      <w:pPr>
        <w:spacing w:after="248"/>
        <w:ind w:left="-15" w:right="0" w:firstLine="0"/>
      </w:pPr>
      <w:r>
        <w:t>Vyhlašovatel kvalifikace je ÚORM SH ČMS zastoupená KSH Pardubického kraje, potažmo pořadateli jednotlivých soutěží, okresní rady mládeže jednotlivých okresů. Samotné mistrovství České republiky se koná 2</w:t>
      </w:r>
      <w:r w:rsidR="0089026D">
        <w:t>1</w:t>
      </w:r>
      <w:r>
        <w:t>. září 202</w:t>
      </w:r>
      <w:r w:rsidR="0089026D">
        <w:t>4</w:t>
      </w:r>
      <w:r>
        <w:t xml:space="preserve"> v</w:t>
      </w:r>
      <w:r w:rsidR="0089026D">
        <w:t> Ústí nad Labem</w:t>
      </w:r>
      <w:r>
        <w:t xml:space="preserve">. </w:t>
      </w:r>
    </w:p>
    <w:p w14:paraId="1ED7B891" w14:textId="77777777" w:rsidR="00294772" w:rsidRDefault="00000000">
      <w:pPr>
        <w:pStyle w:val="Nadpis1"/>
        <w:ind w:left="-5" w:right="0"/>
      </w:pPr>
      <w:r>
        <w:t>2</w:t>
      </w:r>
      <w:r>
        <w:rPr>
          <w:rFonts w:ascii="Arial" w:eastAsia="Arial" w:hAnsi="Arial" w:cs="Arial"/>
        </w:rPr>
        <w:t xml:space="preserve"> </w:t>
      </w:r>
      <w:r>
        <w:t xml:space="preserve">Pravidla </w:t>
      </w:r>
    </w:p>
    <w:p w14:paraId="54D05F10" w14:textId="77777777" w:rsidR="00294772" w:rsidRDefault="00000000">
      <w:pPr>
        <w:spacing w:after="306"/>
        <w:ind w:left="-15" w:right="0"/>
      </w:pPr>
      <w:r>
        <w:t xml:space="preserve">Disciplína probíhá dle Směrnice hry Plamen, platnost od 1. 9. 2022 včetně dodatků ke dni pořádání soutěže.  </w:t>
      </w:r>
    </w:p>
    <w:p w14:paraId="58DBDCD6" w14:textId="77777777" w:rsidR="00294772" w:rsidRDefault="00000000">
      <w:pPr>
        <w:pStyle w:val="Nadpis1"/>
        <w:spacing w:after="102"/>
        <w:ind w:left="0" w:right="0" w:firstLine="0"/>
      </w:pPr>
      <w: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Účast</w:t>
      </w:r>
      <w:r>
        <w:t xml:space="preserve"> </w:t>
      </w:r>
    </w:p>
    <w:p w14:paraId="05B3F52F" w14:textId="0C7D24CA" w:rsidR="00294772" w:rsidRDefault="00000000">
      <w:pPr>
        <w:ind w:left="-15" w:right="0"/>
      </w:pPr>
      <w:r>
        <w:t>Kvalifikace probíhá ve čtyřech kategoriích: mladší žáci, mladší žákyně, starší žáci a starší žákyně, pro rok 202</w:t>
      </w:r>
      <w:r w:rsidR="0089026D">
        <w:t>4</w:t>
      </w:r>
      <w:r>
        <w:t xml:space="preserve"> jsou rozděleny věkové kategorie takto:  </w:t>
      </w:r>
    </w:p>
    <w:p w14:paraId="63D1ADB7" w14:textId="10DC7780" w:rsidR="00294772" w:rsidRDefault="00000000">
      <w:pPr>
        <w:ind w:left="-15" w:right="0" w:firstLine="0"/>
      </w:pPr>
      <w:r>
        <w:t xml:space="preserve">Mladší: </w:t>
      </w:r>
      <w:r w:rsidR="00487614">
        <w:t>2013–2017</w:t>
      </w:r>
      <w:r>
        <w:t xml:space="preserve"> </w:t>
      </w:r>
    </w:p>
    <w:p w14:paraId="7E0234AC" w14:textId="05D5A20E" w:rsidR="00294772" w:rsidRDefault="00000000">
      <w:pPr>
        <w:ind w:left="-15" w:right="0" w:firstLine="0"/>
      </w:pPr>
      <w:r>
        <w:t xml:space="preserve">Starší: </w:t>
      </w:r>
      <w:r w:rsidR="00487614">
        <w:t>2009–2012</w:t>
      </w:r>
      <w:r>
        <w:t xml:space="preserve"> </w:t>
      </w:r>
    </w:p>
    <w:p w14:paraId="35AB999B" w14:textId="0B75C60C" w:rsidR="00294772" w:rsidRDefault="00000000">
      <w:pPr>
        <w:spacing w:after="274" w:line="277" w:lineRule="auto"/>
        <w:ind w:right="0" w:firstLine="0"/>
        <w:jc w:val="left"/>
      </w:pPr>
      <w:r>
        <w:rPr>
          <w:b/>
          <w:color w:val="FF0000"/>
        </w:rPr>
        <w:t>Pro tento ročník nebude umožněn start závodníků mladších 6</w:t>
      </w:r>
      <w:r w:rsidR="00C53F55">
        <w:rPr>
          <w:b/>
          <w:color w:val="FF0000"/>
        </w:rPr>
        <w:t xml:space="preserve"> </w:t>
      </w:r>
      <w:r>
        <w:rPr>
          <w:b/>
          <w:color w:val="FF0000"/>
        </w:rPr>
        <w:t>ti let, to znamená, že nebude umožněn start závodníkům narozených v roce 201</w:t>
      </w:r>
      <w:r w:rsidR="00C53F55">
        <w:rPr>
          <w:b/>
          <w:color w:val="FF0000"/>
        </w:rPr>
        <w:t>8</w:t>
      </w:r>
      <w:r>
        <w:rPr>
          <w:b/>
          <w:color w:val="FF0000"/>
        </w:rPr>
        <w:t xml:space="preserve">. </w:t>
      </w:r>
    </w:p>
    <w:p w14:paraId="1330912C" w14:textId="295949D3" w:rsidR="00294772" w:rsidRDefault="00000000" w:rsidP="00487614">
      <w:pPr>
        <w:spacing w:after="0" w:line="360" w:lineRule="auto"/>
        <w:ind w:left="-5" w:right="0" w:hanging="10"/>
      </w:pPr>
      <w:r>
        <w:rPr>
          <w:rFonts w:ascii="Cambria" w:eastAsia="Cambria" w:hAnsi="Cambria" w:cs="Cambria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 xml:space="preserve">Termíny a místa </w:t>
      </w:r>
      <w:r w:rsidR="00487614">
        <w:rPr>
          <w:rFonts w:ascii="Cambria" w:eastAsia="Cambria" w:hAnsi="Cambria" w:cs="Cambria"/>
          <w:b/>
          <w:sz w:val="28"/>
        </w:rPr>
        <w:t xml:space="preserve">soutěží:             </w:t>
      </w:r>
      <w:r w:rsidR="006754BE">
        <w:rPr>
          <w:rFonts w:ascii="Cambria" w:eastAsia="Cambria" w:hAnsi="Cambria" w:cs="Cambria"/>
          <w:b/>
          <w:sz w:val="28"/>
        </w:rPr>
        <w:t xml:space="preserve">     </w:t>
      </w:r>
      <w:r w:rsidR="00487614">
        <w:rPr>
          <w:rFonts w:ascii="Cambria" w:eastAsia="Cambria" w:hAnsi="Cambria" w:cs="Cambria"/>
          <w:b/>
          <w:sz w:val="28"/>
        </w:rPr>
        <w:t xml:space="preserve">    okres                 </w:t>
      </w:r>
      <w:r w:rsidR="006754BE">
        <w:rPr>
          <w:rFonts w:ascii="Cambria" w:eastAsia="Cambria" w:hAnsi="Cambria" w:cs="Cambria"/>
          <w:b/>
          <w:sz w:val="28"/>
        </w:rPr>
        <w:t xml:space="preserve">           </w:t>
      </w:r>
      <w:r w:rsidR="00487614">
        <w:rPr>
          <w:rFonts w:ascii="Cambria" w:eastAsia="Cambria" w:hAnsi="Cambria" w:cs="Cambria"/>
          <w:b/>
          <w:sz w:val="28"/>
        </w:rPr>
        <w:t xml:space="preserve">      místo</w:t>
      </w:r>
    </w:p>
    <w:tbl>
      <w:tblPr>
        <w:tblStyle w:val="TableGrid"/>
        <w:tblW w:w="8933" w:type="dxa"/>
        <w:tblInd w:w="142" w:type="dxa"/>
        <w:tblLook w:val="04A0" w:firstRow="1" w:lastRow="0" w:firstColumn="1" w:lastColumn="0" w:noHBand="0" w:noVBand="1"/>
      </w:tblPr>
      <w:tblGrid>
        <w:gridCol w:w="9298"/>
        <w:gridCol w:w="6"/>
        <w:gridCol w:w="6"/>
        <w:gridCol w:w="6"/>
        <w:gridCol w:w="6"/>
        <w:gridCol w:w="6"/>
      </w:tblGrid>
      <w:tr w:rsidR="006754BE" w:rsidRPr="006754BE" w14:paraId="19A008B5" w14:textId="5B44054E" w:rsidTr="006754BE">
        <w:trPr>
          <w:gridAfter w:val="2"/>
          <w:wAfter w:w="2986" w:type="dxa"/>
          <w:trHeight w:val="390"/>
        </w:trPr>
        <w:tc>
          <w:tcPr>
            <w:tcW w:w="1121" w:type="dxa"/>
          </w:tcPr>
          <w:tbl>
            <w:tblPr>
              <w:tblStyle w:val="Mkatabulky"/>
              <w:tblW w:w="8782" w:type="dxa"/>
              <w:tblLook w:val="04A0" w:firstRow="1" w:lastRow="0" w:firstColumn="1" w:lastColumn="0" w:noHBand="0" w:noVBand="1"/>
            </w:tblPr>
            <w:tblGrid>
              <w:gridCol w:w="1694"/>
              <w:gridCol w:w="1985"/>
              <w:gridCol w:w="2962"/>
              <w:gridCol w:w="2141"/>
            </w:tblGrid>
            <w:tr w:rsidR="006754BE" w14:paraId="3A877890" w14:textId="77777777" w:rsidTr="006754BE">
              <w:trPr>
                <w:trHeight w:val="990"/>
              </w:trPr>
              <w:tc>
                <w:tcPr>
                  <w:tcW w:w="1694" w:type="dxa"/>
                </w:tcPr>
                <w:p w14:paraId="11C21687" w14:textId="52B6353B" w:rsidR="006754BE" w:rsidRPr="006754BE" w:rsidRDefault="006754BE" w:rsidP="0089026D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UO</w:t>
                  </w:r>
                </w:p>
              </w:tc>
              <w:tc>
                <w:tcPr>
                  <w:tcW w:w="1985" w:type="dxa"/>
                </w:tcPr>
                <w:p w14:paraId="5DE70684" w14:textId="63E2A381" w:rsidR="006754BE" w:rsidRPr="006754BE" w:rsidRDefault="006754BE" w:rsidP="0089026D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27.4.2024</w:t>
                  </w:r>
                </w:p>
              </w:tc>
              <w:tc>
                <w:tcPr>
                  <w:tcW w:w="2962" w:type="dxa"/>
                </w:tcPr>
                <w:p w14:paraId="02F1EF1E" w14:textId="032D4097" w:rsidR="006754BE" w:rsidRPr="006754BE" w:rsidRDefault="006754BE" w:rsidP="0089026D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Choceň</w:t>
                  </w:r>
                </w:p>
              </w:tc>
              <w:tc>
                <w:tcPr>
                  <w:tcW w:w="2141" w:type="dxa"/>
                </w:tcPr>
                <w:p w14:paraId="166EFA5D" w14:textId="092F34D9" w:rsidR="006754BE" w:rsidRPr="006754BE" w:rsidRDefault="006754BE" w:rsidP="0089026D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Choceň</w:t>
                  </w:r>
                </w:p>
              </w:tc>
            </w:tr>
            <w:tr w:rsidR="00367729" w14:paraId="21E07E33" w14:textId="77777777" w:rsidTr="006754BE">
              <w:trPr>
                <w:trHeight w:val="990"/>
              </w:trPr>
              <w:tc>
                <w:tcPr>
                  <w:tcW w:w="1694" w:type="dxa"/>
                </w:tcPr>
                <w:p w14:paraId="7A28EE52" w14:textId="2B95D186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SY</w:t>
                  </w:r>
                </w:p>
              </w:tc>
              <w:tc>
                <w:tcPr>
                  <w:tcW w:w="1985" w:type="dxa"/>
                </w:tcPr>
                <w:p w14:paraId="0F4BC0F8" w14:textId="0720F622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4.5</w:t>
                  </w:r>
                  <w:r w:rsidRPr="006754BE">
                    <w:rPr>
                      <w:b/>
                      <w:bCs/>
                    </w:rPr>
                    <w:t>.2024</w:t>
                  </w:r>
                </w:p>
              </w:tc>
              <w:tc>
                <w:tcPr>
                  <w:tcW w:w="2962" w:type="dxa"/>
                </w:tcPr>
                <w:p w14:paraId="6836A343" w14:textId="7A43DF5A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Svitavy</w:t>
                  </w:r>
                </w:p>
              </w:tc>
              <w:tc>
                <w:tcPr>
                  <w:tcW w:w="2141" w:type="dxa"/>
                </w:tcPr>
                <w:p w14:paraId="132231E3" w14:textId="5C0424D1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Sádek</w:t>
                  </w:r>
                </w:p>
              </w:tc>
            </w:tr>
            <w:tr w:rsidR="00367729" w14:paraId="34B27E8A" w14:textId="77777777" w:rsidTr="006754BE">
              <w:trPr>
                <w:trHeight w:val="990"/>
              </w:trPr>
              <w:tc>
                <w:tcPr>
                  <w:tcW w:w="1694" w:type="dxa"/>
                </w:tcPr>
                <w:p w14:paraId="3C562EDD" w14:textId="5A22A940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CR</w:t>
                  </w:r>
                </w:p>
              </w:tc>
              <w:tc>
                <w:tcPr>
                  <w:tcW w:w="1985" w:type="dxa"/>
                </w:tcPr>
                <w:p w14:paraId="5150A0F0" w14:textId="39CB0419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5.5.2024</w:t>
                  </w:r>
                </w:p>
              </w:tc>
              <w:tc>
                <w:tcPr>
                  <w:tcW w:w="2962" w:type="dxa"/>
                </w:tcPr>
                <w:p w14:paraId="1D3AEA10" w14:textId="23781E8C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Chrudim</w:t>
                  </w:r>
                </w:p>
              </w:tc>
              <w:tc>
                <w:tcPr>
                  <w:tcW w:w="2141" w:type="dxa"/>
                </w:tcPr>
                <w:p w14:paraId="7832173D" w14:textId="64B87E33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Skuteč</w:t>
                  </w:r>
                </w:p>
              </w:tc>
            </w:tr>
            <w:tr w:rsidR="00367729" w14:paraId="4DF54A22" w14:textId="77777777" w:rsidTr="006754BE">
              <w:trPr>
                <w:trHeight w:val="990"/>
              </w:trPr>
              <w:tc>
                <w:tcPr>
                  <w:tcW w:w="1694" w:type="dxa"/>
                </w:tcPr>
                <w:p w14:paraId="3EAD45E1" w14:textId="0700EDEB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PU</w:t>
                  </w:r>
                </w:p>
              </w:tc>
              <w:tc>
                <w:tcPr>
                  <w:tcW w:w="1985" w:type="dxa"/>
                </w:tcPr>
                <w:p w14:paraId="185EA919" w14:textId="1B54BE60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9.6.2024</w:t>
                  </w:r>
                </w:p>
              </w:tc>
              <w:tc>
                <w:tcPr>
                  <w:tcW w:w="2962" w:type="dxa"/>
                </w:tcPr>
                <w:p w14:paraId="0289EE31" w14:textId="436E7E90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Pardubice</w:t>
                  </w:r>
                </w:p>
              </w:tc>
              <w:tc>
                <w:tcPr>
                  <w:tcW w:w="2141" w:type="dxa"/>
                </w:tcPr>
                <w:p w14:paraId="00837392" w14:textId="191174F5" w:rsidR="00367729" w:rsidRPr="006754BE" w:rsidRDefault="00367729" w:rsidP="00367729">
                  <w:pPr>
                    <w:spacing w:before="240"/>
                    <w:ind w:firstLine="0"/>
                    <w:jc w:val="center"/>
                    <w:rPr>
                      <w:b/>
                      <w:bCs/>
                    </w:rPr>
                  </w:pPr>
                  <w:r w:rsidRPr="006754BE">
                    <w:rPr>
                      <w:b/>
                      <w:bCs/>
                    </w:rPr>
                    <w:t>SPŠCH Pardubice</w:t>
                  </w:r>
                </w:p>
              </w:tc>
            </w:tr>
          </w:tbl>
          <w:p w14:paraId="54D51CA8" w14:textId="7EBFB121" w:rsidR="006754BE" w:rsidRPr="006754BE" w:rsidRDefault="006754BE" w:rsidP="006754BE"/>
        </w:tc>
        <w:tc>
          <w:tcPr>
            <w:tcW w:w="2917" w:type="dxa"/>
          </w:tcPr>
          <w:p w14:paraId="0EB92F6D" w14:textId="1AFB2C50" w:rsidR="006754BE" w:rsidRPr="006754BE" w:rsidRDefault="006754BE" w:rsidP="006754BE"/>
        </w:tc>
        <w:tc>
          <w:tcPr>
            <w:tcW w:w="955" w:type="dxa"/>
          </w:tcPr>
          <w:p w14:paraId="5B8C6165" w14:textId="77777777" w:rsidR="006754BE" w:rsidRPr="006754BE" w:rsidRDefault="006754BE" w:rsidP="006754BE"/>
        </w:tc>
        <w:tc>
          <w:tcPr>
            <w:tcW w:w="954" w:type="dxa"/>
          </w:tcPr>
          <w:p w14:paraId="33813449" w14:textId="77777777" w:rsidR="006754BE" w:rsidRPr="006754BE" w:rsidRDefault="006754BE" w:rsidP="006754BE"/>
        </w:tc>
      </w:tr>
      <w:tr w:rsidR="006754BE" w:rsidRPr="006754BE" w14:paraId="77951439" w14:textId="77777777" w:rsidTr="006754BE">
        <w:trPr>
          <w:trHeight w:val="39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863CD" w14:textId="77777777" w:rsidR="006754BE" w:rsidRPr="006754BE" w:rsidRDefault="006754BE" w:rsidP="006754BE"/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95DB5" w14:textId="77777777" w:rsidR="006754BE" w:rsidRPr="006754BE" w:rsidRDefault="006754BE" w:rsidP="006754BE"/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C9F00" w14:textId="77777777" w:rsidR="006754BE" w:rsidRPr="006754BE" w:rsidRDefault="006754BE" w:rsidP="006754BE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3F2FD" w14:textId="77777777" w:rsidR="006754BE" w:rsidRPr="006754BE" w:rsidRDefault="006754BE" w:rsidP="006754BE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B051" w14:textId="59AA1712" w:rsidR="006754BE" w:rsidRPr="006754BE" w:rsidRDefault="006754BE" w:rsidP="006754BE"/>
        </w:tc>
      </w:tr>
      <w:tr w:rsidR="006754BE" w:rsidRPr="006754BE" w14:paraId="0BABE2E1" w14:textId="77777777" w:rsidTr="006754BE">
        <w:trPr>
          <w:trHeight w:val="534"/>
        </w:trPr>
        <w:tc>
          <w:tcPr>
            <w:tcW w:w="1121" w:type="dxa"/>
          </w:tcPr>
          <w:p w14:paraId="5D40EFC8" w14:textId="77777777" w:rsidR="00367729" w:rsidRDefault="00367729" w:rsidP="00367729">
            <w:pPr>
              <w:spacing w:after="248"/>
              <w:ind w:right="0" w:firstLine="0"/>
            </w:pPr>
            <w:r>
              <w:t xml:space="preserve">Propozice jednotlivých soutěží budou vždy minimálně měsíc před soutěží vystaveny na stránkách KSH Pardubického kraje a příslušných OSH. </w:t>
            </w:r>
          </w:p>
          <w:p w14:paraId="71DC1D43" w14:textId="77777777" w:rsidR="00367729" w:rsidRDefault="00367729" w:rsidP="00367729">
            <w:pPr>
              <w:pStyle w:val="Nadpis2"/>
              <w:ind w:left="0" w:right="0" w:firstLine="0"/>
            </w:pPr>
            <w:r>
              <w:lastRenderedPageBreak/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Přihlášky, startovné </w:t>
            </w:r>
          </w:p>
          <w:p w14:paraId="245B93B2" w14:textId="77777777" w:rsidR="00367729" w:rsidRDefault="00367729" w:rsidP="00367729">
            <w:pPr>
              <w:ind w:left="-15" w:right="0"/>
            </w:pPr>
            <w:r>
              <w:t xml:space="preserve">Přihlašování na jednotlivé soutěže bude probíhat dle propozic pořadatele soutěže, pokud to bude možné, pořadatel zajistí elektronické přihlašování přes </w:t>
            </w:r>
            <w:hyperlink r:id="rId5">
              <w:r>
                <w:rPr>
                  <w:color w:val="0000FF"/>
                  <w:u w:val="single" w:color="0000FF"/>
                </w:rPr>
                <w:t>www.stovky.cz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r w:rsidRPr="00566422">
              <w:rPr>
                <w:color w:val="auto"/>
              </w:rPr>
              <w:t xml:space="preserve">nebo </w:t>
            </w:r>
            <w:r w:rsidRPr="00566422">
              <w:rPr>
                <w:color w:val="0000FF"/>
                <w:u w:val="single" w:color="0000FF"/>
              </w:rPr>
              <w:t>pozarnisport.hasicovo.cz</w:t>
            </w:r>
            <w:hyperlink r:id="rId6">
              <w:r>
                <w:t>.</w:t>
              </w:r>
            </w:hyperlink>
            <w:r>
              <w:t xml:space="preserve"> Vždy měsíc před soutěží. Přihlášky se uzavírají tři pracovní dny před soutěží ve 12:00, případně se řídí propozicemi vydanými jednotlivými pořadateli. </w:t>
            </w:r>
          </w:p>
          <w:p w14:paraId="2BABBF9D" w14:textId="77777777" w:rsidR="00367729" w:rsidRDefault="00367729" w:rsidP="00367729">
            <w:pPr>
              <w:ind w:right="0" w:firstLine="0"/>
            </w:pPr>
            <w:r>
              <w:t xml:space="preserve">Soutěží se mohou účastnit všichni závodníci, kteří jsou členy SH ČMS, nebo ČHJ, MHJ. Body do kvalifikace se započítávají pouze závodníkům, kteří mají členství v SDH v rámci Pardubického kraje. </w:t>
            </w:r>
          </w:p>
          <w:p w14:paraId="76E2AF1E" w14:textId="77777777" w:rsidR="00367729" w:rsidRDefault="00367729" w:rsidP="00367729">
            <w:pPr>
              <w:ind w:left="283" w:right="0" w:firstLine="0"/>
            </w:pPr>
            <w:r>
              <w:t xml:space="preserve">Výši startovného za závodníka určuje pořadatel soutěže, hradí se při presenci. </w:t>
            </w:r>
          </w:p>
          <w:p w14:paraId="1A859920" w14:textId="77777777" w:rsidR="00367729" w:rsidRDefault="00367729" w:rsidP="00367729">
            <w:pPr>
              <w:pStyle w:val="Nadpis2"/>
              <w:ind w:left="-5" w:right="0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Výsledky, hodnocení ligy </w:t>
            </w:r>
          </w:p>
          <w:p w14:paraId="12502064" w14:textId="77777777" w:rsidR="00367729" w:rsidRDefault="00367729" w:rsidP="00367729">
            <w:pPr>
              <w:ind w:left="-15" w:right="0"/>
            </w:pPr>
            <w:r>
              <w:t xml:space="preserve">Výsledky z dílčích kvalifikačních soutěží a celkové hodnocení budou zveřejňovány do týdne od ukončení soutěže na stránkách KSH Pardubického a příslušných OSH. </w:t>
            </w:r>
          </w:p>
          <w:p w14:paraId="26F765E9" w14:textId="77777777" w:rsidR="00367729" w:rsidRDefault="00367729" w:rsidP="00367729">
            <w:pPr>
              <w:ind w:left="-15" w:right="0"/>
            </w:pPr>
            <w:r>
              <w:t xml:space="preserve">Body získává závodník na 1. až 30. místě dle tabulky níže. Na MČR v běhu na 60 m s překážkami se kvalifikuje osm nejlepších závodníků z každé kategorie s nejvyšším součtem bodů v celém ročníku, </w:t>
            </w:r>
            <w:r>
              <w:rPr>
                <w:color w:val="FF0000"/>
              </w:rPr>
              <w:t>kteří se zúčastní minimálně 3 závodů ze 4.</w:t>
            </w:r>
            <w:r>
              <w:t xml:space="preserve"> Z toho vyplívá, zúčastní-li se závodník pouze dvou a méně závodů, nebude tento započítán do celkových výsledků kvalifikace a nebude se moci účastnit MČR. Do celkového hodnocení se započítávají 3 ze 4 závodů (nejhorší výkon se nepočítá). V případě shodného součtu bodů rozhoduje lepší čas dosažený během ročníku.  </w:t>
            </w:r>
          </w:p>
          <w:p w14:paraId="032FCAD4" w14:textId="77777777" w:rsidR="00367729" w:rsidRDefault="00367729" w:rsidP="00367729">
            <w:pPr>
              <w:spacing w:after="0"/>
              <w:ind w:left="283" w:right="0" w:firstLine="0"/>
            </w:pPr>
            <w:r>
              <w:t xml:space="preserve">Bodové ohodnocení:  </w:t>
            </w:r>
          </w:p>
          <w:tbl>
            <w:tblPr>
              <w:tblStyle w:val="TableGrid"/>
              <w:tblW w:w="9288" w:type="dxa"/>
              <w:tblInd w:w="0" w:type="dxa"/>
              <w:tblCellMar>
                <w:left w:w="434" w:type="dxa"/>
                <w:right w:w="95" w:type="dxa"/>
              </w:tblCellMar>
              <w:tblLook w:val="04A0" w:firstRow="1" w:lastRow="0" w:firstColumn="1" w:lastColumn="0" w:noHBand="0" w:noVBand="1"/>
            </w:tblPr>
            <w:tblGrid>
              <w:gridCol w:w="1846"/>
              <w:gridCol w:w="1488"/>
              <w:gridCol w:w="1488"/>
              <w:gridCol w:w="1488"/>
              <w:gridCol w:w="1490"/>
              <w:gridCol w:w="1488"/>
            </w:tblGrid>
            <w:tr w:rsidR="00367729" w14:paraId="3BAD538A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4CD4D" w14:textId="77777777" w:rsidR="00367729" w:rsidRDefault="00367729" w:rsidP="00367729">
                  <w:pPr>
                    <w:spacing w:after="0" w:line="259" w:lineRule="auto"/>
                    <w:ind w:left="192" w:right="0" w:firstLine="0"/>
                    <w:jc w:val="left"/>
                  </w:pPr>
                  <w:r>
                    <w:t xml:space="preserve">Umístění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C4FC36" w14:textId="77777777" w:rsidR="00367729" w:rsidRDefault="00367729" w:rsidP="00367729">
                  <w:pPr>
                    <w:spacing w:after="0" w:line="259" w:lineRule="auto"/>
                    <w:ind w:right="58" w:firstLine="0"/>
                    <w:jc w:val="center"/>
                  </w:pPr>
                  <w:r>
                    <w:t xml:space="preserve">Body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0C6A0C" w14:textId="77777777" w:rsidR="00367729" w:rsidRDefault="00367729" w:rsidP="0036772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t xml:space="preserve">Umístění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4D44AC" w14:textId="77777777" w:rsidR="00367729" w:rsidRDefault="00367729" w:rsidP="00367729">
                  <w:pPr>
                    <w:spacing w:after="0" w:line="259" w:lineRule="auto"/>
                    <w:ind w:right="54" w:firstLine="0"/>
                    <w:jc w:val="center"/>
                  </w:pPr>
                  <w:r>
                    <w:t xml:space="preserve">Body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04D21" w14:textId="77777777" w:rsidR="00367729" w:rsidRDefault="00367729" w:rsidP="00367729">
                  <w:pPr>
                    <w:spacing w:after="0" w:line="259" w:lineRule="auto"/>
                    <w:ind w:left="14" w:right="0" w:firstLine="0"/>
                    <w:jc w:val="left"/>
                  </w:pPr>
                  <w:r>
                    <w:t xml:space="preserve">Umístění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ABD23D" w14:textId="77777777" w:rsidR="00367729" w:rsidRDefault="00367729" w:rsidP="00367729">
                  <w:pPr>
                    <w:spacing w:after="0" w:line="259" w:lineRule="auto"/>
                    <w:ind w:right="58" w:firstLine="0"/>
                    <w:jc w:val="center"/>
                  </w:pPr>
                  <w:r>
                    <w:t xml:space="preserve">Body </w:t>
                  </w:r>
                </w:p>
              </w:tc>
            </w:tr>
            <w:tr w:rsidR="00367729" w14:paraId="5FCD1B90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6AA5C2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1.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5C80A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40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B7E2D4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11.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85A587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20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BDC98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21.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AA808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10 </w:t>
                  </w:r>
                </w:p>
              </w:tc>
            </w:tr>
            <w:tr w:rsidR="00367729" w14:paraId="243C4A14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A7494A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2.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37DE3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35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15DC9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12.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A7A637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19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A03650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22.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508CF4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9 </w:t>
                  </w:r>
                </w:p>
              </w:tc>
            </w:tr>
            <w:tr w:rsidR="00367729" w14:paraId="701256CD" w14:textId="77777777" w:rsidTr="00067618">
              <w:trPr>
                <w:trHeight w:val="545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F2A826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3.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298D32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32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ABDBD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13.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EDB7D4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18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21462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23.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C4E1AB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8 </w:t>
                  </w:r>
                </w:p>
              </w:tc>
            </w:tr>
            <w:tr w:rsidR="00367729" w14:paraId="70D0F0CF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98F614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4.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51DA1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29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EE8474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14.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C1D3F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17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DAE231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23.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241F48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7 </w:t>
                  </w:r>
                </w:p>
              </w:tc>
            </w:tr>
            <w:tr w:rsidR="00367729" w14:paraId="1A479129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B3255F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5.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D5DD7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27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F5E103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15.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C61D1C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16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57A007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25.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A2F2C1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6 </w:t>
                  </w:r>
                </w:p>
              </w:tc>
            </w:tr>
            <w:tr w:rsidR="00367729" w14:paraId="2CF34907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988A77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6.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4D663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25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A18808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16.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EC5C3F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15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B9F5A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26.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CF798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5 </w:t>
                  </w:r>
                </w:p>
              </w:tc>
            </w:tr>
            <w:tr w:rsidR="00367729" w14:paraId="1841C92C" w14:textId="77777777" w:rsidTr="00067618">
              <w:trPr>
                <w:trHeight w:val="545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455DF9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7.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32D76C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24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7F2C64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17.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D6D039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14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ED0A8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27.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978E7A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4 </w:t>
                  </w:r>
                </w:p>
              </w:tc>
            </w:tr>
            <w:tr w:rsidR="00367729" w14:paraId="49B8C59F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F515C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8.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710EFC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23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58CE36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18.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BC057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13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3E9176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28.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5F3D1F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3 </w:t>
                  </w:r>
                </w:p>
              </w:tc>
            </w:tr>
            <w:tr w:rsidR="00367729" w14:paraId="1A2AE166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824C3D" w14:textId="77777777" w:rsidR="00367729" w:rsidRDefault="00367729" w:rsidP="00367729">
                  <w:pPr>
                    <w:spacing w:after="0" w:line="259" w:lineRule="auto"/>
                    <w:ind w:left="238" w:right="0" w:firstLine="0"/>
                    <w:jc w:val="left"/>
                  </w:pPr>
                  <w:r>
                    <w:t xml:space="preserve">9.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B39415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22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4ADE3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19.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CFC983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12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727D96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29.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8928C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2 </w:t>
                  </w:r>
                </w:p>
              </w:tc>
            </w:tr>
            <w:tr w:rsidR="00367729" w14:paraId="5382D7D7" w14:textId="77777777" w:rsidTr="00067618">
              <w:trPr>
                <w:trHeight w:val="542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15C60A" w14:textId="77777777" w:rsidR="00367729" w:rsidRDefault="00367729" w:rsidP="00367729">
                  <w:pPr>
                    <w:spacing w:after="0" w:line="259" w:lineRule="auto"/>
                    <w:ind w:left="178" w:right="0" w:firstLine="0"/>
                    <w:jc w:val="left"/>
                  </w:pPr>
                  <w:r>
                    <w:t xml:space="preserve">10.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5B727B" w14:textId="77777777" w:rsidR="00367729" w:rsidRDefault="00367729" w:rsidP="00367729">
                  <w:pPr>
                    <w:spacing w:after="0" w:line="259" w:lineRule="auto"/>
                    <w:ind w:right="57" w:firstLine="0"/>
                    <w:jc w:val="center"/>
                  </w:pPr>
                  <w:r>
                    <w:t xml:space="preserve">21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43B479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right"/>
                  </w:pPr>
                  <w:r>
                    <w:t xml:space="preserve">20.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6F4CFE" w14:textId="77777777" w:rsidR="00367729" w:rsidRDefault="00367729" w:rsidP="00367729">
                  <w:pPr>
                    <w:spacing w:after="0" w:line="259" w:lineRule="auto"/>
                    <w:ind w:right="53" w:firstLine="0"/>
                    <w:jc w:val="center"/>
                  </w:pPr>
                  <w:r>
                    <w:t xml:space="preserve">11 </w:t>
                  </w:r>
                </w:p>
              </w:tc>
              <w:tc>
                <w:tcPr>
                  <w:tcW w:w="1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9673D" w14:textId="77777777" w:rsidR="00367729" w:rsidRDefault="00367729" w:rsidP="00367729">
                  <w:pPr>
                    <w:spacing w:after="0" w:line="259" w:lineRule="auto"/>
                    <w:ind w:right="0" w:firstLine="0"/>
                    <w:jc w:val="left"/>
                  </w:pPr>
                  <w:r>
                    <w:t xml:space="preserve">30. místo </w:t>
                  </w:r>
                </w:p>
              </w:tc>
              <w:tc>
                <w:tcPr>
                  <w:tcW w:w="1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2A8D7D" w14:textId="77777777" w:rsidR="00367729" w:rsidRDefault="00367729" w:rsidP="00367729">
                  <w:pPr>
                    <w:spacing w:after="0" w:line="259" w:lineRule="auto"/>
                    <w:ind w:right="60" w:firstLine="0"/>
                    <w:jc w:val="center"/>
                  </w:pPr>
                  <w:r>
                    <w:t xml:space="preserve">1 </w:t>
                  </w:r>
                </w:p>
              </w:tc>
            </w:tr>
          </w:tbl>
          <w:p w14:paraId="5F8D5A47" w14:textId="77777777" w:rsidR="00367729" w:rsidRDefault="00367729" w:rsidP="00367729">
            <w:pPr>
              <w:spacing w:after="298" w:line="259" w:lineRule="auto"/>
              <w:ind w:left="283" w:right="0" w:firstLine="0"/>
              <w:jc w:val="left"/>
            </w:pPr>
          </w:p>
          <w:p w14:paraId="4CCD4044" w14:textId="77777777" w:rsidR="00367729" w:rsidRDefault="00367729" w:rsidP="00367729">
            <w:pPr>
              <w:pStyle w:val="Nadpis2"/>
              <w:ind w:left="-5" w:right="0"/>
            </w:pP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Povinnosti pro pořadatele </w:t>
            </w:r>
          </w:p>
          <w:p w14:paraId="79274ECF" w14:textId="77777777" w:rsidR="00367729" w:rsidRDefault="00367729" w:rsidP="00367729">
            <w:pPr>
              <w:ind w:left="-15" w:right="0"/>
            </w:pPr>
            <w:r>
              <w:t xml:space="preserve">Vydat propozice soutěže a zaslat je minimálně měsíc před soutěží krajské radě mládeže na email: </w:t>
            </w:r>
            <w:r w:rsidRPr="0089026D">
              <w:rPr>
                <w:rStyle w:val="Siln"/>
                <w:rFonts w:ascii="Arial" w:hAnsi="Arial" w:cs="Arial"/>
                <w:b w:val="0"/>
                <w:bCs w:val="0"/>
                <w:color w:val="4472C4" w:themeColor="accent1"/>
                <w:szCs w:val="24"/>
                <w:shd w:val="clear" w:color="auto" w:fill="FFFFFF"/>
              </w:rPr>
              <w:t>korm.pardubice@seznam.cz</w:t>
            </w:r>
          </w:p>
          <w:p w14:paraId="5A1946DA" w14:textId="77777777" w:rsidR="00367729" w:rsidRDefault="00367729" w:rsidP="00367729">
            <w:pPr>
              <w:ind w:left="-15" w:right="0"/>
            </w:pPr>
            <w:r>
              <w:t xml:space="preserve">Pořadatel je povinen zajistit soutěžní dráhu pro běh na 60 m s překážkami dle směrnic, povrch musí být tartan. Pořadatel zajistí klíny, nebo jiný bezpečnostní prvek pod seběhy kladin.  Pořadatel dále zajistí základní zázemí pro soutěžící a občerstvení. Zajistí elektronické měření času a zdravotníka. Pořadatel musí zajistit startovní bloky a startovní čísla. Pořadatel zajistí dostatečný počet rozhodčích a technickou četu. Pořadatel provede kontrolu členských průkazů při prezenci. </w:t>
            </w:r>
          </w:p>
          <w:p w14:paraId="5CFD3032" w14:textId="77777777" w:rsidR="00367729" w:rsidRDefault="00367729" w:rsidP="00367729">
            <w:pPr>
              <w:spacing w:after="0" w:line="259" w:lineRule="auto"/>
              <w:ind w:right="14" w:firstLine="0"/>
              <w:jc w:val="center"/>
            </w:pPr>
            <w:r>
              <w:t xml:space="preserve">Soutěž se nesmí shodovat s datem Okresního a krajského kola (týká se všech kategorií).  </w:t>
            </w:r>
          </w:p>
          <w:p w14:paraId="782ECAB3" w14:textId="77777777" w:rsidR="00367729" w:rsidRDefault="00367729" w:rsidP="00367729">
            <w:pPr>
              <w:ind w:left="-15" w:right="0"/>
            </w:pPr>
            <w:r>
              <w:t xml:space="preserve">Vyhlášení soutěže provede pořadatel soutěže a proběhne vždy po skončení soutěže, či kategorie dle propozic soutěže.  </w:t>
            </w:r>
          </w:p>
          <w:p w14:paraId="36231B61" w14:textId="77777777" w:rsidR="00367729" w:rsidRDefault="00367729" w:rsidP="00367729">
            <w:pPr>
              <w:spacing w:after="286"/>
              <w:ind w:left="-15" w:right="0"/>
            </w:pPr>
            <w:r>
              <w:t xml:space="preserve">Pořadatel zašle výsledky soutěže v elektronické podobě krajské radě mládeže na email: </w:t>
            </w:r>
            <w:r w:rsidRPr="0089026D">
              <w:rPr>
                <w:rStyle w:val="Siln"/>
                <w:rFonts w:ascii="Arial" w:hAnsi="Arial" w:cs="Arial"/>
                <w:b w:val="0"/>
                <w:bCs w:val="0"/>
                <w:color w:val="4472C4" w:themeColor="accent1"/>
                <w:szCs w:val="24"/>
                <w:shd w:val="clear" w:color="auto" w:fill="FFFFFF"/>
              </w:rPr>
              <w:t>korm.pardubice@seznam.cz</w:t>
            </w:r>
            <w:r w:rsidRPr="0089026D">
              <w:rPr>
                <w:color w:val="4472C4" w:themeColor="accent1"/>
              </w:rPr>
              <w:t xml:space="preserve"> </w:t>
            </w:r>
            <w:r>
              <w:t xml:space="preserve">nejpozději do 4 dnů od ukončení soutěže, včetně vyznačení soutěžících mimo kraj Pardubice či závodníků z jiné organizace. Pozn. platí pravidlo, že v případě dosažení shodných časů, o lepším umístění rozhodne čas horšího pokusu. Nastane-li situace, že závodníci mají druhý čas stejný či neplatný, jsou závodníci na shodném místě se stejným počtem bodů. </w:t>
            </w:r>
          </w:p>
          <w:p w14:paraId="48A1FF46" w14:textId="77777777" w:rsidR="00367729" w:rsidRDefault="00367729" w:rsidP="00367729">
            <w:pPr>
              <w:pStyle w:val="Nadpis2"/>
              <w:ind w:left="-5" w:right="0"/>
            </w:pPr>
            <w: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Povinnosti pro závodníky </w:t>
            </w:r>
          </w:p>
          <w:p w14:paraId="09CAFE78" w14:textId="77777777" w:rsidR="00367729" w:rsidRDefault="00367729" w:rsidP="00367729">
            <w:pPr>
              <w:spacing w:after="92"/>
              <w:ind w:left="-15" w:right="0"/>
            </w:pPr>
            <w:r>
              <w:t xml:space="preserve">Závodník je povinen se přihlásit na danou soutěž. Nepřihlášenému soutěžícímu nebude umožněn start v soutěži.  </w:t>
            </w:r>
          </w:p>
          <w:p w14:paraId="4B90F37F" w14:textId="77777777" w:rsidR="00367729" w:rsidRDefault="00367729" w:rsidP="00367729">
            <w:pPr>
              <w:ind w:left="-15" w:right="0"/>
            </w:pPr>
            <w:r>
              <w:t xml:space="preserve">Závodník je povinen se prokázat na kterékoliv kvalifikační soutěži platným průkazem člena SDH, ČHJ, nebo MHJ. </w:t>
            </w:r>
            <w:r>
              <w:rPr>
                <w:b/>
              </w:rPr>
              <w:t>Závodník závodí celý ročník v jedné kategorii a za stejný tým</w:t>
            </w:r>
            <w:r>
              <w:t xml:space="preserve">. Závodník nastupuje v předepsané ústroji dle pravidel.  </w:t>
            </w:r>
          </w:p>
          <w:p w14:paraId="12DA27EE" w14:textId="77777777" w:rsidR="00367729" w:rsidRDefault="00367729" w:rsidP="00367729">
            <w:pPr>
              <w:spacing w:after="283"/>
              <w:ind w:left="-15" w:right="0"/>
            </w:pPr>
            <w:r>
              <w:t xml:space="preserve">Závodník je povinen se chovat v průběhu soutěží dle pravidel, v případně nesportovního chování může být vyloučen ze soutěže či kvalifikace.  </w:t>
            </w:r>
          </w:p>
          <w:p w14:paraId="563A924D" w14:textId="77777777" w:rsidR="00367729" w:rsidRDefault="00367729" w:rsidP="00367729">
            <w:pPr>
              <w:pStyle w:val="Nadpis2"/>
              <w:ind w:left="-5" w:right="0"/>
            </w:pP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Celkové vyhlášení kvalifikace </w:t>
            </w:r>
          </w:p>
          <w:p w14:paraId="200B80B2" w14:textId="77777777" w:rsidR="00367729" w:rsidRDefault="00367729" w:rsidP="00367729">
            <w:pPr>
              <w:spacing w:after="283"/>
              <w:ind w:left="-15" w:right="0"/>
            </w:pPr>
            <w:r>
              <w:t xml:space="preserve">Celkové vyhlášení kvalifikace na MČR za rok 2024 vyhlásí KSH Pardubického kraje elektronicky, nejpozději do 30. června 2024. </w:t>
            </w:r>
          </w:p>
          <w:p w14:paraId="7454F5A4" w14:textId="77777777" w:rsidR="00367729" w:rsidRDefault="00367729" w:rsidP="00367729">
            <w:pPr>
              <w:pStyle w:val="Nadpis2"/>
              <w:ind w:left="-5" w:right="0"/>
            </w:pPr>
            <w: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Provedení soutěže – podmínky </w:t>
            </w:r>
          </w:p>
          <w:p w14:paraId="7A6091A1" w14:textId="77777777" w:rsidR="00367729" w:rsidRDefault="00367729" w:rsidP="00367729">
            <w:pPr>
              <w:spacing w:after="286"/>
              <w:ind w:left="-15" w:right="0"/>
            </w:pPr>
            <w:r>
              <w:t xml:space="preserve">Za příznivých podmínek soutěž proběhne v plném rozsahu (dle pravidel na 2 pokusy). Při zhoršení podmínek v průběhu soutěže rozhodne hlavní rozhodčí po poradě s pořadateli o dalším postupu v provedení soutěže. Z důvodu bezpečnosti závodníků může být soutěž i zrušena. V případě zrušení některé ze soutěží se ruší pravidlo dle kapitoly 6 a do celkových výsledků se započítají body ze všech soutěží. </w:t>
            </w:r>
          </w:p>
          <w:p w14:paraId="45F544C2" w14:textId="77777777" w:rsidR="005D44F1" w:rsidRDefault="005D44F1" w:rsidP="00367729">
            <w:pPr>
              <w:pStyle w:val="Nadpis2"/>
              <w:spacing w:after="55"/>
              <w:ind w:left="-5" w:right="0"/>
            </w:pPr>
          </w:p>
          <w:p w14:paraId="39AAA3B0" w14:textId="16C60688" w:rsidR="00367729" w:rsidRDefault="00367729" w:rsidP="00367729">
            <w:pPr>
              <w:pStyle w:val="Nadpis2"/>
              <w:spacing w:after="55"/>
              <w:ind w:left="-5" w:right="0"/>
            </w:pPr>
            <w:r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Nákres disciplíny </w:t>
            </w:r>
          </w:p>
          <w:p w14:paraId="625669BB" w14:textId="77777777" w:rsidR="00367729" w:rsidRDefault="00367729" w:rsidP="00367729">
            <w:pPr>
              <w:spacing w:after="234" w:line="259" w:lineRule="auto"/>
              <w:ind w:right="820" w:firstLine="0"/>
              <w:jc w:val="right"/>
            </w:pPr>
            <w:r>
              <w:rPr>
                <w:noProof/>
              </w:rPr>
              <w:drawing>
                <wp:inline distT="0" distB="0" distL="0" distR="0" wp14:anchorId="5BF8746D" wp14:editId="65975D7A">
                  <wp:extent cx="4476198" cy="1954529"/>
                  <wp:effectExtent l="0" t="0" r="0" b="0"/>
                  <wp:docPr id="842" name="Picture 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198" cy="195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8232020" w14:textId="77777777" w:rsidR="00367729" w:rsidRDefault="00367729" w:rsidP="00367729">
            <w:pPr>
              <w:pStyle w:val="Nadpis2"/>
              <w:ind w:left="-5" w:right="0"/>
            </w:pPr>
            <w: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Kontakty </w:t>
            </w:r>
          </w:p>
          <w:p w14:paraId="66942265" w14:textId="77777777" w:rsidR="00367729" w:rsidRPr="0089026D" w:rsidRDefault="00367729" w:rsidP="00367729">
            <w:pPr>
              <w:ind w:left="283" w:right="0" w:firstLine="0"/>
              <w:rPr>
                <w:color w:val="4472C4" w:themeColor="accent1"/>
                <w:sz w:val="28"/>
                <w:szCs w:val="28"/>
              </w:rPr>
            </w:pPr>
            <w:r>
              <w:t xml:space="preserve">V případě dotazů se prosím obracejte na KORM PAK: </w:t>
            </w:r>
            <w:r w:rsidRPr="0089026D">
              <w:rPr>
                <w:rStyle w:val="Siln"/>
                <w:rFonts w:ascii="Arial" w:hAnsi="Arial" w:cs="Arial"/>
                <w:b w:val="0"/>
                <w:bCs w:val="0"/>
                <w:color w:val="4472C4" w:themeColor="accent1"/>
                <w:sz w:val="28"/>
                <w:szCs w:val="28"/>
                <w:shd w:val="clear" w:color="auto" w:fill="FFFFFF"/>
              </w:rPr>
              <w:t>korm.pardubice@seznam.cz</w:t>
            </w:r>
          </w:p>
          <w:p w14:paraId="5D9F2E5E" w14:textId="2786202E" w:rsidR="00367729" w:rsidRDefault="00367729" w:rsidP="00367729">
            <w:pPr>
              <w:spacing w:after="298" w:line="259" w:lineRule="auto"/>
              <w:ind w:left="283" w:right="0" w:firstLine="0"/>
              <w:jc w:val="left"/>
            </w:pPr>
            <w:r>
              <w:t xml:space="preserve"> </w:t>
            </w:r>
          </w:p>
          <w:p w14:paraId="2B7ABCA8" w14:textId="5A2085AA" w:rsidR="006754BE" w:rsidRPr="006754BE" w:rsidRDefault="006754BE" w:rsidP="006754BE"/>
        </w:tc>
        <w:tc>
          <w:tcPr>
            <w:tcW w:w="2917" w:type="dxa"/>
          </w:tcPr>
          <w:p w14:paraId="1EA435A7" w14:textId="6289C391" w:rsidR="006754BE" w:rsidRPr="006754BE" w:rsidRDefault="006754BE" w:rsidP="006754BE"/>
        </w:tc>
        <w:tc>
          <w:tcPr>
            <w:tcW w:w="2510" w:type="dxa"/>
            <w:gridSpan w:val="2"/>
          </w:tcPr>
          <w:p w14:paraId="1CAAF920" w14:textId="63D44C8E" w:rsidR="006754BE" w:rsidRPr="006754BE" w:rsidRDefault="006754BE" w:rsidP="006754BE"/>
        </w:tc>
        <w:tc>
          <w:tcPr>
            <w:tcW w:w="955" w:type="dxa"/>
          </w:tcPr>
          <w:p w14:paraId="0CF8F22A" w14:textId="390A8670" w:rsidR="006754BE" w:rsidRPr="006754BE" w:rsidRDefault="006754BE" w:rsidP="006754BE"/>
        </w:tc>
        <w:tc>
          <w:tcPr>
            <w:tcW w:w="1430" w:type="dxa"/>
          </w:tcPr>
          <w:p w14:paraId="6623EF9A" w14:textId="4468F86C" w:rsidR="006754BE" w:rsidRPr="006754BE" w:rsidRDefault="006754BE" w:rsidP="006754BE"/>
        </w:tc>
      </w:tr>
      <w:tr w:rsidR="006754BE" w:rsidRPr="006754BE" w14:paraId="1CCBFB6C" w14:textId="77777777" w:rsidTr="006754BE">
        <w:trPr>
          <w:trHeight w:val="53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600B1" w14:textId="076C3C04" w:rsidR="006754BE" w:rsidRPr="006754BE" w:rsidRDefault="006754BE" w:rsidP="006754BE"/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4829" w14:textId="61AB65C6" w:rsidR="006754BE" w:rsidRPr="006754BE" w:rsidRDefault="006754BE" w:rsidP="006754BE"/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4023" w14:textId="04EBB5D5" w:rsidR="006754BE" w:rsidRPr="006754BE" w:rsidRDefault="006754BE" w:rsidP="006754BE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D250BF9" w14:textId="77777777" w:rsidR="006754BE" w:rsidRPr="006754BE" w:rsidRDefault="006754BE" w:rsidP="006754BE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4021" w14:textId="456EF7CB" w:rsidR="006754BE" w:rsidRPr="006754BE" w:rsidRDefault="006754BE" w:rsidP="006754BE"/>
        </w:tc>
      </w:tr>
      <w:tr w:rsidR="006754BE" w:rsidRPr="006754BE" w14:paraId="4D8F5BC2" w14:textId="77777777" w:rsidTr="006754BE">
        <w:trPr>
          <w:trHeight w:val="39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91202" w14:textId="76365B0E" w:rsidR="006754BE" w:rsidRPr="006754BE" w:rsidRDefault="006754BE" w:rsidP="006754BE"/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C446" w14:textId="46B7048C" w:rsidR="006754BE" w:rsidRPr="006754BE" w:rsidRDefault="006754BE" w:rsidP="006754BE"/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A7A56" w14:textId="08CD4AB0" w:rsidR="006754BE" w:rsidRPr="006754BE" w:rsidRDefault="006754BE" w:rsidP="006754BE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109A008" w14:textId="77777777" w:rsidR="006754BE" w:rsidRPr="006754BE" w:rsidRDefault="006754BE" w:rsidP="006754BE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04F7" w14:textId="21493882" w:rsidR="006754BE" w:rsidRPr="006754BE" w:rsidRDefault="006754BE" w:rsidP="006754BE"/>
        </w:tc>
      </w:tr>
      <w:tr w:rsidR="006754BE" w:rsidRPr="006754BE" w14:paraId="3FA56093" w14:textId="77777777" w:rsidTr="006754BE">
        <w:trPr>
          <w:trHeight w:val="534"/>
        </w:trPr>
        <w:tc>
          <w:tcPr>
            <w:tcW w:w="1121" w:type="dxa"/>
          </w:tcPr>
          <w:p w14:paraId="5E472C2F" w14:textId="77FA3521" w:rsidR="006754BE" w:rsidRPr="006754BE" w:rsidRDefault="006754BE" w:rsidP="006754BE"/>
        </w:tc>
        <w:tc>
          <w:tcPr>
            <w:tcW w:w="2917" w:type="dxa"/>
          </w:tcPr>
          <w:p w14:paraId="6B76F2E5" w14:textId="059D20A6" w:rsidR="006754BE" w:rsidRPr="006754BE" w:rsidRDefault="006754BE" w:rsidP="006754BE"/>
        </w:tc>
        <w:tc>
          <w:tcPr>
            <w:tcW w:w="2510" w:type="dxa"/>
            <w:gridSpan w:val="2"/>
          </w:tcPr>
          <w:p w14:paraId="4D5123A4" w14:textId="00101FB5" w:rsidR="006754BE" w:rsidRPr="006754BE" w:rsidRDefault="006754BE" w:rsidP="006754BE"/>
        </w:tc>
        <w:tc>
          <w:tcPr>
            <w:tcW w:w="955" w:type="dxa"/>
          </w:tcPr>
          <w:p w14:paraId="5C06033F" w14:textId="77777777" w:rsidR="006754BE" w:rsidRPr="006754BE" w:rsidRDefault="006754BE" w:rsidP="006754BE"/>
        </w:tc>
        <w:tc>
          <w:tcPr>
            <w:tcW w:w="1430" w:type="dxa"/>
          </w:tcPr>
          <w:p w14:paraId="3CD12C83" w14:textId="394D0D5A" w:rsidR="006754BE" w:rsidRPr="006754BE" w:rsidRDefault="006754BE" w:rsidP="006754BE"/>
        </w:tc>
      </w:tr>
      <w:tr w:rsidR="00367729" w:rsidRPr="006754BE" w14:paraId="1BB73AB9" w14:textId="77777777" w:rsidTr="006754BE">
        <w:trPr>
          <w:trHeight w:val="534"/>
        </w:trPr>
        <w:tc>
          <w:tcPr>
            <w:tcW w:w="1121" w:type="dxa"/>
          </w:tcPr>
          <w:p w14:paraId="5DC0A0ED" w14:textId="77777777" w:rsidR="00367729" w:rsidRPr="006754BE" w:rsidRDefault="00367729" w:rsidP="006754BE"/>
        </w:tc>
        <w:tc>
          <w:tcPr>
            <w:tcW w:w="2917" w:type="dxa"/>
          </w:tcPr>
          <w:p w14:paraId="41EA8F9F" w14:textId="77777777" w:rsidR="00367729" w:rsidRPr="006754BE" w:rsidRDefault="00367729" w:rsidP="006754BE"/>
        </w:tc>
        <w:tc>
          <w:tcPr>
            <w:tcW w:w="2510" w:type="dxa"/>
            <w:gridSpan w:val="2"/>
          </w:tcPr>
          <w:p w14:paraId="5E949356" w14:textId="77777777" w:rsidR="00367729" w:rsidRPr="006754BE" w:rsidRDefault="00367729" w:rsidP="006754BE"/>
        </w:tc>
        <w:tc>
          <w:tcPr>
            <w:tcW w:w="955" w:type="dxa"/>
          </w:tcPr>
          <w:p w14:paraId="04E53C83" w14:textId="77777777" w:rsidR="00367729" w:rsidRPr="006754BE" w:rsidRDefault="00367729" w:rsidP="006754BE"/>
        </w:tc>
        <w:tc>
          <w:tcPr>
            <w:tcW w:w="1430" w:type="dxa"/>
          </w:tcPr>
          <w:p w14:paraId="694F2123" w14:textId="77777777" w:rsidR="00367729" w:rsidRPr="006754BE" w:rsidRDefault="00367729" w:rsidP="006754BE"/>
        </w:tc>
      </w:tr>
    </w:tbl>
    <w:p w14:paraId="50BCAB19" w14:textId="56709FAD" w:rsidR="00294772" w:rsidRPr="0089026D" w:rsidRDefault="00294772" w:rsidP="00367729">
      <w:pPr>
        <w:pStyle w:val="Nadpis2"/>
        <w:spacing w:after="55"/>
        <w:ind w:left="-5" w:right="0"/>
        <w:rPr>
          <w:color w:val="4472C4" w:themeColor="accent1"/>
          <w:szCs w:val="28"/>
        </w:rPr>
      </w:pPr>
    </w:p>
    <w:sectPr w:rsidR="00294772" w:rsidRPr="0089026D" w:rsidSect="004E763C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72"/>
    <w:rsid w:val="00294772"/>
    <w:rsid w:val="00367729"/>
    <w:rsid w:val="00451E8E"/>
    <w:rsid w:val="00487614"/>
    <w:rsid w:val="004E763C"/>
    <w:rsid w:val="00566422"/>
    <w:rsid w:val="005D44F1"/>
    <w:rsid w:val="006754BE"/>
    <w:rsid w:val="0089026D"/>
    <w:rsid w:val="00C36209"/>
    <w:rsid w:val="00C53F5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5DC"/>
  <w15:docId w15:val="{045BA467-4D1A-4FF8-9C53-404026F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0" w:line="268" w:lineRule="auto"/>
      <w:ind w:right="1" w:firstLine="27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4"/>
      <w:ind w:left="908" w:right="556" w:hanging="10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4"/>
      <w:ind w:left="908" w:right="556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8"/>
    </w:rPr>
  </w:style>
  <w:style w:type="character" w:customStyle="1" w:styleId="Nadpis2Char">
    <w:name w:val="Nadpis 2 Char"/>
    <w:link w:val="Nadpis2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67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5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vky.cz/" TargetMode="External"/><Relationship Id="rId5" Type="http://schemas.openxmlformats.org/officeDocument/2006/relationships/hyperlink" Target="http://www.stovky.cz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Monika Nováková</cp:lastModifiedBy>
  <cp:revision>2</cp:revision>
  <dcterms:created xsi:type="dcterms:W3CDTF">2024-03-20T16:53:00Z</dcterms:created>
  <dcterms:modified xsi:type="dcterms:W3CDTF">2024-03-20T16:53:00Z</dcterms:modified>
</cp:coreProperties>
</file>